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00"/>
          <w:tab w:val="left" w:pos="1100"/>
        </w:tabs>
        <w:spacing w:line="30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900"/>
          <w:tab w:val="left" w:pos="1100"/>
        </w:tabs>
        <w:spacing w:line="30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评审标准</w:t>
      </w:r>
    </w:p>
    <w:p>
      <w:pPr>
        <w:ind w:firstLine="602" w:firstLineChars="200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（一）初步评审</w:t>
      </w:r>
    </w:p>
    <w:tbl>
      <w:tblPr>
        <w:tblStyle w:val="6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02"/>
        <w:gridCol w:w="1823"/>
        <w:gridCol w:w="5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序号</w:t>
            </w:r>
          </w:p>
        </w:tc>
        <w:tc>
          <w:tcPr>
            <w:tcW w:w="8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分类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 审 因 素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 审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形式评审标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准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投标人名称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投标函签字盖章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有法定代表人或其委托代理人签字并加盖单位公章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投标文件格式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符合 “投标人投标文件模板”的要求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报价唯一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只能有一个有效报价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资格评审标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准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具有独立法人或合伙企业资格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具备有效的营业执照，</w:t>
            </w:r>
            <w:r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  <w:t>成立年限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5年</w:t>
            </w:r>
            <w:r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  <w:t>以上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证明材料：营业执照复印件加盖公章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7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信用证明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近3年在经营活动中没有违法、违规、</w:t>
            </w:r>
            <w:r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  <w:t>失信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记录</w:t>
            </w:r>
          </w:p>
          <w:p>
            <w:pPr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证明材料：投标人应当在“信用中国”网站（www.creditchina.gov.cn）查询信用</w:t>
            </w:r>
            <w:r>
              <w:rPr>
                <w:rFonts w:ascii="仿宋" w:hAnsi="仿宋" w:eastAsia="仿宋" w:cs="仿宋"/>
                <w:sz w:val="22"/>
                <w:szCs w:val="22"/>
              </w:rPr>
              <w:t>记录，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下载信用报告并打印加盖公章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</w:trPr>
        <w:tc>
          <w:tcPr>
            <w:tcW w:w="7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项目团队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  <w:highlight w:val="none"/>
              </w:rPr>
              <w:t>投标人专职人员不得少于30人，其中执业税务师不得少于5人且执业经验5年以上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  <w:highlight w:val="none"/>
                <w:lang w:eastAsia="zh-CN"/>
              </w:rPr>
              <w:t>应为本服务项目配备的项目团队有</w:t>
            </w:r>
            <w:r>
              <w:rPr>
                <w:rFonts w:hint="eastAsia" w:ascii="仿宋" w:hAnsi="仿宋" w:eastAsia="仿宋" w:cs="宋体"/>
                <w:sz w:val="22"/>
                <w:szCs w:val="22"/>
                <w:highlight w:val="none"/>
                <w:lang w:eastAsia="zh-CN"/>
              </w:rPr>
              <w:t>着丰富的税务咨询经验，应当安排不少于2名专业人员跟进并提供服务，至少应当包括1名具备税务师资格证的执业税务师，项目负责人有10年以上的税务师执业经验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响应性评审标准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投标内容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符合投标文件要求。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exact"/>
        </w:trPr>
        <w:tc>
          <w:tcPr>
            <w:tcW w:w="707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  <w:t>服务期限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）企业所得税汇算业务：服务期间为2020-2022年，共计3年。</w:t>
            </w:r>
          </w:p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（2）专项税收筹划服务业务：服务期间为自协议生效之日起至项目完成日（具体根据单项业务服务协议确定）。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exact"/>
        </w:trPr>
        <w:tc>
          <w:tcPr>
            <w:tcW w:w="7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  <w:t>招标控制价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（1）企业所得税汇算业务：2020-2022年三年合计控制价为10万元（含税），不包括与企业所得税汇算业务有关的差旅费（包括交通费、食宿费）。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（2）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/>
              </w:rPr>
              <w:t>专项税收服务：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对于“转让郑煤机股权”的专项税收筹划服务业务，合计控制价为5万元（含税），不包括与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/>
              </w:rPr>
              <w:t>专项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税收筹划服务业务有关的差旅费（包括交通费、食宿费）。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/>
              </w:rPr>
              <w:t>投标报价超过控制价为无效报价；单项业务单独报价，合计报价无效。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70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napToGrid w:val="0"/>
                <w:kern w:val="0"/>
                <w:sz w:val="22"/>
                <w:szCs w:val="22"/>
              </w:rPr>
              <w:t>服务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2"/>
              </w:rPr>
              <w:t>成果质量</w:t>
            </w:r>
          </w:p>
        </w:tc>
        <w:tc>
          <w:tcPr>
            <w:tcW w:w="5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合格</w:t>
            </w:r>
          </w:p>
        </w:tc>
      </w:tr>
    </w:tbl>
    <w:p>
      <w:pPr>
        <w:numPr>
          <w:ilvl w:val="0"/>
          <w:numId w:val="0"/>
        </w:numPr>
        <w:ind w:firstLine="602" w:firstLineChars="200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详细评审</w:t>
      </w:r>
    </w:p>
    <w:tbl>
      <w:tblPr>
        <w:tblStyle w:val="6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64"/>
        <w:gridCol w:w="1558"/>
        <w:gridCol w:w="4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35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1"/>
              </w:rPr>
              <w:t>满分分值</w:t>
            </w:r>
          </w:p>
        </w:tc>
        <w:tc>
          <w:tcPr>
            <w:tcW w:w="489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18"/>
              </w:rPr>
              <w:t>各项分值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35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分值构成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(满分100 分)</w:t>
            </w:r>
          </w:p>
        </w:tc>
        <w:tc>
          <w:tcPr>
            <w:tcW w:w="4896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投标报价：</w:t>
            </w:r>
            <w:r>
              <w:rPr>
                <w:rFonts w:hint="eastAsia" w:ascii="仿宋" w:hAnsi="仿宋" w:eastAsia="仿宋" w:cs="仿宋"/>
                <w:sz w:val="22"/>
                <w:szCs w:val="18"/>
                <w:u w:val="single"/>
              </w:rPr>
              <w:t xml:space="preserve">   30   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企业业绩：</w:t>
            </w:r>
            <w:r>
              <w:rPr>
                <w:rFonts w:hint="eastAsia" w:ascii="仿宋" w:hAnsi="仿宋" w:eastAsia="仿宋" w:cs="仿宋"/>
                <w:sz w:val="22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18"/>
                <w:u w:val="single"/>
              </w:rPr>
              <w:t>25</w:t>
            </w:r>
            <w:r>
              <w:rPr>
                <w:rFonts w:hint="eastAsia" w:ascii="仿宋" w:hAnsi="仿宋" w:eastAsia="仿宋" w:cs="仿宋"/>
                <w:sz w:val="22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项目团队：</w:t>
            </w:r>
            <w:r>
              <w:rPr>
                <w:rFonts w:hint="eastAsia" w:ascii="仿宋" w:hAnsi="仿宋" w:eastAsia="仿宋" w:cs="仿宋"/>
                <w:sz w:val="22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18"/>
                <w:u w:val="singl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2"/>
                <w:szCs w:val="1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工作方案：</w:t>
            </w:r>
            <w:r>
              <w:rPr>
                <w:rFonts w:hint="eastAsia" w:ascii="仿宋" w:hAnsi="仿宋" w:eastAsia="仿宋" w:cs="仿宋"/>
                <w:sz w:val="22"/>
                <w:szCs w:val="18"/>
                <w:u w:val="single"/>
                <w:lang w:val="en-US" w:eastAsia="zh-CN"/>
              </w:rPr>
              <w:t xml:space="preserve">   15   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1"/>
              </w:rPr>
              <w:t>评审因素</w:t>
            </w:r>
          </w:p>
        </w:tc>
        <w:tc>
          <w:tcPr>
            <w:tcW w:w="645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tabs>
                <w:tab w:val="left" w:pos="1988"/>
              </w:tabs>
              <w:jc w:val="center"/>
              <w:rPr>
                <w:rFonts w:ascii="仿宋" w:hAnsi="仿宋" w:eastAsia="仿宋" w:cs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1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tabs>
                <w:tab w:val="left" w:pos="1988"/>
              </w:tabs>
              <w:spacing w:line="276" w:lineRule="auto"/>
              <w:jc w:val="center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投标价格</w:t>
            </w:r>
          </w:p>
          <w:p>
            <w:pPr>
              <w:tabs>
                <w:tab w:val="left" w:pos="1988"/>
              </w:tabs>
              <w:spacing w:line="276" w:lineRule="auto"/>
              <w:jc w:val="center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（30分）</w:t>
            </w:r>
          </w:p>
        </w:tc>
        <w:tc>
          <w:tcPr>
            <w:tcW w:w="155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评标基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18"/>
              </w:rPr>
              <w:t>准价计算方法</w:t>
            </w:r>
          </w:p>
        </w:tc>
        <w:tc>
          <w:tcPr>
            <w:tcW w:w="4896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评标基准价=所有投标人的有效投标报价算平均值，如果参与评标价平均值计算的有效投标人超过4家（不含）时，去掉1个最高值和1个最低值后取平均。（备注：四舍五入保留小数点后二位）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1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sz w:val="22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投标报价的偏差率计算公式</w:t>
            </w:r>
          </w:p>
        </w:tc>
        <w:tc>
          <w:tcPr>
            <w:tcW w:w="4896" w:type="dxa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偏差率=100% 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|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（投标人报价−评标基准价）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|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/评标基准价(备注：四舍五入保留小数点后二位）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1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sz w:val="22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2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投标报价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2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 xml:space="preserve">评分标准 </w:t>
            </w:r>
          </w:p>
        </w:tc>
        <w:tc>
          <w:tcPr>
            <w:tcW w:w="4896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(1)投标报价每高于评标基准价一个百分点扣0.</w:t>
            </w:r>
            <w:r>
              <w:rPr>
                <w:rFonts w:ascii="仿宋" w:hAnsi="仿宋" w:eastAsia="仿宋" w:cs="仿宋"/>
                <w:sz w:val="22"/>
                <w:szCs w:val="18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分，则评标价得分=30-偏差率×100×0.</w:t>
            </w:r>
            <w:r>
              <w:rPr>
                <w:rFonts w:ascii="仿宋" w:hAnsi="仿宋" w:eastAsia="仿宋" w:cs="仿宋"/>
                <w:sz w:val="22"/>
                <w:szCs w:val="18"/>
                <w:highlight w:val="none"/>
              </w:rPr>
              <w:t>6</w:t>
            </w:r>
          </w:p>
          <w:p>
            <w:pPr>
              <w:rPr>
                <w:rFonts w:ascii="仿宋" w:hAnsi="仿宋" w:eastAsia="仿宋" w:cs="仿宋"/>
                <w:sz w:val="22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(2) 投标报价每低于评标基准价一个百分点扣0.</w:t>
            </w:r>
            <w:r>
              <w:rPr>
                <w:rFonts w:ascii="仿宋" w:hAnsi="仿宋" w:eastAsia="仿宋" w:cs="仿宋"/>
                <w:sz w:val="22"/>
                <w:szCs w:val="18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分，则评标价得分=30-偏差率×100×0.</w:t>
            </w:r>
            <w:r>
              <w:rPr>
                <w:rFonts w:ascii="仿宋" w:hAnsi="仿宋" w:eastAsia="仿宋" w:cs="仿宋"/>
                <w:sz w:val="22"/>
                <w:szCs w:val="18"/>
                <w:highlight w:val="none"/>
              </w:rPr>
              <w:t>3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（备注：四舍五入保留小数点后二位）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本项最高得分30分，最低得分0分</w:t>
            </w: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5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企业业绩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分）</w:t>
            </w:r>
          </w:p>
        </w:tc>
        <w:tc>
          <w:tcPr>
            <w:tcW w:w="6454" w:type="dxa"/>
            <w:gridSpan w:val="2"/>
            <w:vAlign w:val="center"/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(1)2016年1月1日以来，为资产或收入超过100亿的企业提供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企业所得税汇算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服务，每提供一个合同，得1分，本项目最高得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分。同一个公司同一类型不同年度业务仅能计算一次业绩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。</w:t>
            </w:r>
          </w:p>
          <w:p>
            <w:pPr>
              <w:numPr>
                <w:ilvl w:val="-1"/>
                <w:numId w:val="0"/>
              </w:numPr>
              <w:tabs>
                <w:tab w:val="left" w:pos="360"/>
              </w:tabs>
              <w:spacing w:line="276" w:lineRule="auto"/>
              <w:jc w:val="left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2016年1月1日以来，为标的超过3亿的企业并购重组</w:t>
            </w:r>
            <w:r>
              <w:rPr>
                <w:rFonts w:ascii="仿宋" w:hAnsi="仿宋" w:eastAsia="仿宋" w:cs="仿宋"/>
                <w:sz w:val="22"/>
                <w:szCs w:val="18"/>
              </w:rPr>
              <w:t>等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提供专项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税收筹划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服务，每提供一个合同，得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分，本项目最高得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。</w:t>
            </w:r>
          </w:p>
          <w:p>
            <w:pPr>
              <w:numPr>
                <w:ilvl w:val="-1"/>
                <w:numId w:val="0"/>
              </w:numPr>
              <w:tabs>
                <w:tab w:val="left" w:pos="360"/>
              </w:tabs>
              <w:spacing w:line="276" w:lineRule="auto"/>
              <w:jc w:val="left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近三年以来（2018-2020年）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，为资产或收入超过100亿的企业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提供常年税收咨询顾问服务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，每提供一个合同，得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分，本项目最高得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。</w:t>
            </w:r>
          </w:p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="仿宋" w:hAnsi="仿宋" w:eastAsia="仿宋" w:cs="仿宋"/>
                <w:b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18"/>
              </w:rPr>
              <w:t>证明材料：</w:t>
            </w:r>
          </w:p>
          <w:p>
            <w:pPr>
              <w:tabs>
                <w:tab w:val="left" w:pos="360"/>
              </w:tabs>
              <w:spacing w:line="276" w:lineRule="auto"/>
              <w:jc w:val="left"/>
              <w:rPr>
                <w:rFonts w:hint="eastAsia"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提供相应的合同复印件并加盖公章。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3</w:t>
            </w:r>
          </w:p>
        </w:tc>
        <w:tc>
          <w:tcPr>
            <w:tcW w:w="13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项目团队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分）</w:t>
            </w:r>
          </w:p>
        </w:tc>
        <w:tc>
          <w:tcPr>
            <w:tcW w:w="6454" w:type="dxa"/>
            <w:gridSpan w:val="2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2020年税务师事务所等级认定为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AAA级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得10分；等级认定为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AA级，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得6分；等级认定为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A级，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得3分；无等级认定，得0分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 xml:space="preserve">。                   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）2016年1月1日以来，项目负责人主导国有大型企业或已上市公司涉税服务业务，每提供一个合同得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分，本项目最高得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分，同一个公司同一类型不同年度业务对同一人员仅能计算一次业绩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） 2016年1月1日以来，项目负责人主导完成资产或收入超过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亿的公司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并购重组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的税收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咨询等项目，每提供一个合同得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分，本项目最高得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分，同一个公司同一类型不同年度业务对同一人员仅能计算一次业绩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（4）截止2020年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日，项目总负责人、项目负责人需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满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年及以上的，得5分；否则得0分。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执业证书复印件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）</w:t>
            </w:r>
          </w:p>
          <w:p>
            <w:pPr>
              <w:tabs>
                <w:tab w:val="left" w:pos="360"/>
              </w:tabs>
              <w:spacing w:line="276" w:lineRule="auto"/>
              <w:rPr>
                <w:rFonts w:ascii="仿宋" w:hAnsi="仿宋" w:eastAsia="仿宋" w:cs="仿宋"/>
                <w:b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18"/>
              </w:rPr>
              <w:t>证明材料：</w:t>
            </w:r>
          </w:p>
          <w:p>
            <w:pPr>
              <w:spacing w:line="276" w:lineRule="auto"/>
              <w:rPr>
                <w:rFonts w:ascii="仿宋" w:hAnsi="仿宋" w:eastAsia="仿宋" w:cs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请填写投标人投标文件模板第</w:t>
            </w: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sz w:val="22"/>
                <w:szCs w:val="18"/>
                <w:highlight w:val="none"/>
              </w:rPr>
              <w:t>项“项目团队”中的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项目人员构成情况</w:t>
            </w:r>
            <w:r>
              <w:rPr>
                <w:rFonts w:ascii="仿宋" w:hAnsi="仿宋" w:eastAsia="仿宋" w:cs="仿宋"/>
                <w:sz w:val="22"/>
                <w:szCs w:val="18"/>
              </w:rPr>
              <w:t>（未在投标文件中明确总负责人和负责人的，即使提供了业绩合同，但相关项目不得分）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，并提供项目工作人员资格证复印件加盖公章；个人业绩须附合同及相关报告本人签字页，加盖公章。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4</w:t>
            </w:r>
          </w:p>
        </w:tc>
        <w:tc>
          <w:tcPr>
            <w:tcW w:w="13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工作方案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18"/>
              </w:rPr>
              <w:t>分）</w:t>
            </w:r>
          </w:p>
        </w:tc>
        <w:tc>
          <w:tcPr>
            <w:tcW w:w="6454" w:type="dxa"/>
            <w:gridSpan w:val="2"/>
            <w:vAlign w:val="center"/>
          </w:tcPr>
          <w:p/>
          <w:p>
            <w:pPr>
              <w:spacing w:line="276" w:lineRule="auto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具体要求：</w:t>
            </w:r>
          </w:p>
          <w:p>
            <w:pPr>
              <w:spacing w:line="276" w:lineRule="auto"/>
              <w:ind w:firstLine="440" w:firstLineChars="200"/>
              <w:rPr>
                <w:rFonts w:hint="eastAsia"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1.投标人应确保按时保质完成工作任务，并就如何加快工作进度及相应资源投入提出措施。</w:t>
            </w:r>
          </w:p>
          <w:p>
            <w:pPr>
              <w:spacing w:line="276" w:lineRule="auto"/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2.确保针对重大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税收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事项提供专业服务的途径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。</w:t>
            </w:r>
          </w:p>
          <w:p>
            <w:pPr>
              <w:spacing w:line="276" w:lineRule="auto"/>
              <w:ind w:firstLine="440" w:firstLineChars="200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3.工作团队稳定，团队成员具体分工及确保沟通顺畅方式，如服务期间内人员变更，需提前申请更换，并确保提供同等条件的人员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。</w:t>
            </w:r>
          </w:p>
          <w:p>
            <w:pPr>
              <w:spacing w:line="276" w:lineRule="auto"/>
              <w:ind w:firstLine="440" w:firstLineChars="200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4.响应机制。</w:t>
            </w:r>
          </w:p>
          <w:p>
            <w:pPr>
              <w:spacing w:line="276" w:lineRule="auto"/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①日常咨询业务，不长于24小时内响应</w:t>
            </w:r>
            <w:r>
              <w:rPr>
                <w:rFonts w:hint="eastAsia" w:ascii="仿宋" w:hAnsi="仿宋" w:eastAsia="仿宋" w:cs="仿宋"/>
                <w:sz w:val="22"/>
                <w:szCs w:val="18"/>
                <w:lang w:eastAsia="zh-CN"/>
              </w:rPr>
              <w:t>。</w:t>
            </w:r>
          </w:p>
          <w:p>
            <w:pPr>
              <w:spacing w:line="276" w:lineRule="auto"/>
              <w:ind w:firstLine="440" w:firstLineChars="200"/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②企业所得税汇算业务，应于汇算年度的次年4月30日前出具正式版的汇算鉴证报告。</w:t>
            </w:r>
          </w:p>
          <w:p>
            <w:pPr>
              <w:spacing w:line="276" w:lineRule="auto"/>
              <w:ind w:firstLine="440" w:firstLineChars="200"/>
              <w:rPr>
                <w:rFonts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专项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税收服务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业务（出具书面意见），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按招标人具体需求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。</w:t>
            </w:r>
          </w:p>
          <w:p>
            <w:pPr>
              <w:tabs>
                <w:tab w:val="left" w:pos="360"/>
              </w:tabs>
              <w:spacing w:line="276" w:lineRule="auto"/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sz w:val="22"/>
                <w:szCs w:val="18"/>
              </w:rPr>
              <w:t>本项最高得分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分，最低得分0分。其中方案设计合理、团队稳定，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响应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及时的得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分-</w:t>
            </w:r>
            <w:r>
              <w:rPr>
                <w:rFonts w:hint="eastAsia" w:ascii="仿宋" w:hAnsi="仿宋" w:eastAsia="仿宋" w:cs="仿宋"/>
                <w:sz w:val="22"/>
                <w:szCs w:val="1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2"/>
                <w:szCs w:val="18"/>
              </w:rPr>
              <w:t>分；方案设计较为合理、团队稳定，相应较为及时的得5分-10分；此外，得0-5分。</w:t>
            </w:r>
          </w:p>
          <w:p>
            <w:pPr>
              <w:tabs>
                <w:tab w:val="left" w:pos="360"/>
              </w:tabs>
              <w:spacing w:line="276" w:lineRule="auto"/>
              <w:ind w:firstLine="440" w:firstLineChars="200"/>
              <w:jc w:val="left"/>
              <w:rPr>
                <w:rFonts w:ascii="仿宋" w:hAnsi="仿宋" w:eastAsia="仿宋" w:cs="仿宋"/>
                <w:color w:val="000000"/>
                <w:sz w:val="2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C4D"/>
    <w:rsid w:val="03B560CC"/>
    <w:rsid w:val="06BA2573"/>
    <w:rsid w:val="077A5E37"/>
    <w:rsid w:val="0A7D174D"/>
    <w:rsid w:val="0BC54018"/>
    <w:rsid w:val="0C2D1944"/>
    <w:rsid w:val="0CEE491D"/>
    <w:rsid w:val="0FA1236F"/>
    <w:rsid w:val="15750BB8"/>
    <w:rsid w:val="170821F7"/>
    <w:rsid w:val="1C0A6690"/>
    <w:rsid w:val="1CAF2587"/>
    <w:rsid w:val="259F3F06"/>
    <w:rsid w:val="25A3525F"/>
    <w:rsid w:val="25F36970"/>
    <w:rsid w:val="2ACD7A5F"/>
    <w:rsid w:val="2E5C6742"/>
    <w:rsid w:val="2FEA7E43"/>
    <w:rsid w:val="350D7927"/>
    <w:rsid w:val="47006FF8"/>
    <w:rsid w:val="4901079D"/>
    <w:rsid w:val="4FA41FA6"/>
    <w:rsid w:val="4FC75B69"/>
    <w:rsid w:val="56DB4F74"/>
    <w:rsid w:val="5D620634"/>
    <w:rsid w:val="61D31AD1"/>
    <w:rsid w:val="62D26BC0"/>
    <w:rsid w:val="631E2CCD"/>
    <w:rsid w:val="66443BC9"/>
    <w:rsid w:val="6A6360A3"/>
    <w:rsid w:val="6B5611EC"/>
    <w:rsid w:val="6E727FCC"/>
    <w:rsid w:val="72464ABF"/>
    <w:rsid w:val="78E063CB"/>
    <w:rsid w:val="793B55D0"/>
    <w:rsid w:val="7C525B8B"/>
    <w:rsid w:val="7E5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91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李丹</cp:lastModifiedBy>
  <cp:lastPrinted>2020-12-14T02:50:00Z</cp:lastPrinted>
  <dcterms:modified xsi:type="dcterms:W3CDTF">2020-12-14T05:58:19Z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